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21 vom 12. Mai 2010</w:t>
      </w:r>
    </w:p>
    <w:p>
      <w:r>
        <w:t>GR Gerichte, 2010-05-12, DE</w:t>
      </w:r>
    </w:p>
    <w:p>
      <w:r>
        <w:rPr>
          <w:b/>
        </w:rPr>
        <w:t xml:space="preserve">Quelle: </w:t>
      </w:r>
      <w:r>
        <w:t>https://mcp.opencaselaw.ch/entscheid/gr_gerichte_SK2 2010 21</w:t>
      </w:r>
    </w:p>
    <w:p>
      <w:r>
        <w:t>FR: GR_GERICHTE SK2 2010 21 du 12 mai 2010</w:t>
      </w:r>
    </w:p>
    <w:p>
      <w:r>
        <w:t>IT: GR_GERICHTE SK2 2010 21 del 12 maggio 2010</w:t>
      </w:r>
    </w:p>
    <w:p>
      <w:pPr>
        <w:pStyle w:val="Heading2"/>
      </w:pPr>
      <w:r>
        <w:t>Regeste</w:t>
      </w:r>
    </w:p>
    <w:p>
      <w:r>
        <w:t>strafbare Handlungen gegen die Ehre | Beschwerde KreisP Einstellungsverfügung</w:t>
      </w:r>
    </w:p>
    <w:p>
      <w:pPr>
        <w:pStyle w:val="Heading2"/>
      </w:pPr>
      <w:r>
        <w:t>Erwägungen</w:t>
      </w:r>
    </w:p>
    <w:p>
      <w:r>
        <w:rPr>
          <w:b/>
        </w:rPr>
        <w:t>E. 2</w:t>
      </w:r>
    </w:p>
    <w:p>
      <w:r>
        <w:t>Dafür sei er gerichtlich angemessen zu bestrafen.</w:t>
      </w:r>
    </w:p>
    <w:p>
      <w:r>
        <w:rPr>
          <w:b/>
        </w:rPr>
        <w:t>E. 3</w:t>
      </w:r>
    </w:p>
    <w:p>
      <w:r>
        <w:t>Der Angeschuldigte sei zur Bezahlung von Fr. 1'000.00, eventuell zu einem Betrag nach richterlichem Ermessen, an eine noch zu bezeich- nende wohltätige Institution zu verpflichten.</w:t>
      </w:r>
    </w:p>
    <w:p>
      <w:r>
        <w:rPr>
          <w:b/>
        </w:rPr>
        <w:t>E. 4</w:t>
      </w:r>
    </w:p>
    <w:p>
      <w:r>
        <w:t>September 2009, Kreisamt act. 01). Massgebend ist immer der Sinn der Äusserung, die ihr ein unbefangener Hörer oder Leser nach den Umständen beilegen muss. Auf den Gesamtzusammenhang kommt es an (Donatsch, Strafrecht III, 9. Aufl., Zürich 2008, S. 356 f. mit Hinweisen). Von aussen betrachtet kommt der Meldung die Bedeutung zu, dass X. eine grössere Anzahl an Fahrgästen kutschieren lässt, als den Pferden zuträglich ist. Dass es sich hierbei nachgerade um eine Tierquälerei oder Tierschinderei handle, behauptete er nicht. Die geübte Kritik verletzte X. wohl in seiner beruflichen Ehre als angesehener Fuhrhalter und Kutschereibetreiber und betraf damit die Art seiner Berufsausübung, nicht aber seine private Ehre als pflichtbewusster und</w:t>
      </w:r>
    </w:p>
    <w:p>
      <w:r>
        <w:t>Seite 8 — 10 charakterlich anständiger Mensch. Die Beschuldigung eines sittlich vorwerfbaren, unehrenhaften Verhaltens kann der Mitteilung an das Amt nicht entnommen werden. Demzufolge durfte Y. die aus seiner Sicht gemachten Wahrnehmungen auch dem zuständigen Amt melden, ohne sich dadurch eines Ehrverletzungstatbestandes schuldig zu machen. c) Fehlt es vorliegend bereits an einer ehrverletzenden Behauptung von Y., kann offen bleiben, ob diese wider besseres Wissen erfolgte. Nicht gefolgt werden kann in diesem Zusammenhang jedoch den Ausführungen der Vorinstanz, wenn sie gestützt auf die Aussagen von Z. (Schreiben vom 23. November 2009, Kreisamt act. 12) darlegt, dass der Beschwerdegegner in guten Treuen von einer Überlastung der Pferde ausgehen konnte und schon daher nicht strafbar sei. Die Vorinstanz verkennt damit, dass Z. in seinem Schreiben nicht von „Überanstrengen“ spricht, sondern von „am Limit“. Zudem handelt es sich nicht um dasselbe Vorkommnis, wie es angeblich von Y. beobachtet worden sein soll. Dem genannten Schreiben von Z. kommt somit keine Bedeutung zu, so dass auch nicht weiter auf den Einwand des Beschwerdeführers einzugehen ist, wonach ihm das Schreiben nicht gehörig zugestellt worden sei. Entscheidend ist vielmehr, dass es sich nach dem Gesagten um keine ehrverletzende Äusserung handelt. d) Der Beschwerdeführer rügt sodann, dass die Untersuchungen vom Kreispräsidenten nicht mit weiteren Abklärungen ergänzt wurden. Unter Ziffer 4 der angefochtenen Verfügung habe der Kreispräsident ausgeführt, dass es für eine schlüssige Beantwortung der Frage, ob das Verhalten des Beschwerdegeg- ners als ehrverletzend zu qualifizieren sei, einer Beurteilung durch eine Fachper- son und weiterer Unterlagen bedürfe. Dennoch habe der Kreispräsident diese Untersuchungen nicht veranlasst. Auch wenn die fragliche Erwägung etwas miss- verständlich erscheinen mag, so geht aus dem Gesamtkontext doch mit aller Klar- heit hervor, dass der Kreispräsident auf weitere Untersuchungen verzichtete, weil er das Verhalten des Beschwerdegegners unabhängig davon nicht als ehrverlet- zend qualifizierte. Ist dieser Schluss aus den vorstehend dargelegten Gründen zutreffend, erübrigt sich der Wahrheitsbeweis zum vornherein und es entfallen demzufolge weitere Abklärungen zum Gewicht der Pferde, des Fuhrwerks, der Anzahl Fahrgäste etc. e) Ist die beanstandete Behauptung unbestritten und ist sie nicht als ehrverlet- zend zu qualifizieren, ist es offenkundig, dass bei gerichtlicher Beurteilung ein Freispruch erfolgen würde. Der Kreispräsident hat demnach die gegen Y. geführte</w:t>
      </w:r>
    </w:p>
    <w:p>
      <w:r>
        <w:t>Seite 9 — 10 Strafuntersuchung zu Recht eingestellt. Die Beschwerde ist demzufolge abzuweisen.</w:t>
      </w:r>
    </w:p>
    <w:p>
      <w:r>
        <w:rPr>
          <w:b/>
        </w:rPr>
        <w:t>E. 5</w:t>
      </w:r>
    </w:p>
    <w:p>
      <w:r>
        <w:t>Art. 167 StPO regelt die amtliche und ausseramtliche Kostenverteilung im gewöhnlichen Ehrverletzungsverfahren abschliessend. Die allgemeinen Grund- sätze über die Verfahrenskosten nach Art. 156 ff. StPO finden daher keine An- wendung (vgl. Padrutt, a.a.O., Ziff. 7.2 zu Art. 162 – 168 StPO, S. 422, mit Hinwei- sen). Gemäss Art. 167 Abs. 5 StPO werden der unterliegenden Partei die Kosten des Verfahrens und eine Prozessentschädigung an die Gegenpartei auferlegt. Von dieser Regel darf nur abgewichen werden, wenn besondere Verhältnisse dies rechtfertigen. Solche sind vorliegend nicht gegeben. Die Kosten des Beschwerde- verfahrens sind somit dem unterliegenden Beschwerdeführer aufzuerlegen, der zudem den Beschwerdegegner ausseramtlich angemessen zu entschädigen hat.</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